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2C" w:rsidRDefault="002C3E2C" w:rsidP="002C3E2C">
      <w:pPr>
        <w:ind w:left="71"/>
        <w:jc w:val="center"/>
      </w:pPr>
      <w:r>
        <w:rPr>
          <w:noProof/>
          <w:lang w:val="en-US"/>
        </w:rPr>
        <w:drawing>
          <wp:inline distT="0" distB="0" distL="0" distR="0">
            <wp:extent cx="2476500" cy="904875"/>
            <wp:effectExtent l="1905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2C3E2C" w:rsidRDefault="002C3E2C" w:rsidP="002C3E2C">
      <w:pPr>
        <w:ind w:left="75"/>
        <w:jc w:val="center"/>
      </w:pP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2C3E2C" w:rsidRDefault="002C3E2C" w:rsidP="002C3E2C">
      <w:pPr>
        <w:ind w:left="13" w:right="1" w:hanging="10"/>
      </w:pPr>
      <w:r>
        <w:rPr>
          <w:rFonts w:ascii="Book Antiqua" w:eastAsia="Book Antiqua" w:hAnsi="Book Antiqua" w:cs="Book Antiqua"/>
          <w:b/>
          <w:i/>
        </w:rPr>
        <w:t xml:space="preserve">                                                   «ФОРСАЙТ МЕДТЕХ» </w:t>
      </w:r>
    </w:p>
    <w:p w:rsidR="002C3E2C" w:rsidRPr="00013790" w:rsidRDefault="00013790" w:rsidP="002C3E2C">
      <w:pPr>
        <w:ind w:left="13" w:hanging="10"/>
        <w:jc w:val="center"/>
        <w:rPr>
          <w:lang w:val="en-US"/>
        </w:rPr>
      </w:pPr>
      <w:r>
        <w:rPr>
          <w:rFonts w:ascii="Book Antiqua" w:eastAsia="Book Antiqua" w:hAnsi="Book Antiqua" w:cs="Book Antiqua"/>
          <w:b/>
          <w:i/>
        </w:rPr>
        <w:t>г</w:t>
      </w:r>
      <w:r w:rsidR="002C3E2C" w:rsidRPr="00013790">
        <w:rPr>
          <w:rFonts w:ascii="Book Antiqua" w:eastAsia="Book Antiqua" w:hAnsi="Book Antiqua" w:cs="Book Antiqua"/>
          <w:b/>
          <w:i/>
          <w:lang w:val="en-US"/>
        </w:rPr>
        <w:t xml:space="preserve">. </w:t>
      </w:r>
      <w:r w:rsidR="002C3E2C">
        <w:rPr>
          <w:rFonts w:ascii="Book Antiqua" w:eastAsia="Book Antiqua" w:hAnsi="Book Antiqua" w:cs="Book Antiqua"/>
          <w:b/>
          <w:i/>
        </w:rPr>
        <w:t>Хар</w:t>
      </w:r>
      <w:r>
        <w:rPr>
          <w:rFonts w:ascii="Book Antiqua" w:eastAsia="Book Antiqua" w:hAnsi="Book Antiqua" w:cs="Book Antiqua"/>
          <w:b/>
          <w:i/>
        </w:rPr>
        <w:t>ько</w:t>
      </w:r>
      <w:r w:rsidR="002C3E2C">
        <w:rPr>
          <w:rFonts w:ascii="Book Antiqua" w:eastAsia="Book Antiqua" w:hAnsi="Book Antiqua" w:cs="Book Antiqua"/>
          <w:b/>
          <w:i/>
        </w:rPr>
        <w:t>в</w:t>
      </w:r>
      <w:r w:rsidR="002C3E2C" w:rsidRPr="00013790">
        <w:rPr>
          <w:rFonts w:ascii="Book Antiqua" w:eastAsia="Book Antiqua" w:hAnsi="Book Antiqua" w:cs="Book Antiqua"/>
          <w:b/>
          <w:i/>
          <w:lang w:val="en-US"/>
        </w:rPr>
        <w:t xml:space="preserve">, </w:t>
      </w:r>
      <w:proofErr w:type="spellStart"/>
      <w:proofErr w:type="gramStart"/>
      <w:r w:rsidR="002C3E2C">
        <w:rPr>
          <w:rFonts w:ascii="Book Antiqua" w:eastAsia="Book Antiqua" w:hAnsi="Book Antiqua" w:cs="Book Antiqua"/>
          <w:b/>
          <w:i/>
        </w:rPr>
        <w:t>ул</w:t>
      </w:r>
      <w:proofErr w:type="spellEnd"/>
      <w:r w:rsidR="002C3E2C" w:rsidRPr="00013790">
        <w:rPr>
          <w:rFonts w:ascii="Book Antiqua" w:eastAsia="Book Antiqua" w:hAnsi="Book Antiqua" w:cs="Book Antiqua"/>
          <w:b/>
          <w:i/>
          <w:lang w:val="en-US"/>
        </w:rPr>
        <w:t>,</w:t>
      </w:r>
      <w:proofErr w:type="spellStart"/>
      <w:r>
        <w:rPr>
          <w:rFonts w:ascii="Book Antiqua" w:eastAsia="Book Antiqua" w:hAnsi="Book Antiqua" w:cs="Book Antiqua"/>
          <w:b/>
          <w:i/>
        </w:rPr>
        <w:t>Ры</w:t>
      </w:r>
      <w:r w:rsidR="002C3E2C">
        <w:rPr>
          <w:rFonts w:ascii="Book Antiqua" w:eastAsia="Book Antiqua" w:hAnsi="Book Antiqua" w:cs="Book Antiqua"/>
          <w:b/>
          <w:i/>
        </w:rPr>
        <w:t>марска</w:t>
      </w:r>
      <w:r>
        <w:rPr>
          <w:rFonts w:ascii="Book Antiqua" w:eastAsia="Book Antiqua" w:hAnsi="Book Antiqua" w:cs="Book Antiqua"/>
          <w:b/>
          <w:i/>
        </w:rPr>
        <w:t>я</w:t>
      </w:r>
      <w:proofErr w:type="spellEnd"/>
      <w:proofErr w:type="gramEnd"/>
      <w:r w:rsidR="002C3E2C" w:rsidRPr="00013790">
        <w:rPr>
          <w:rFonts w:ascii="Book Antiqua" w:eastAsia="Book Antiqua" w:hAnsi="Book Antiqua" w:cs="Book Antiqua"/>
          <w:b/>
          <w:i/>
          <w:lang w:val="en-US"/>
        </w:rPr>
        <w:t xml:space="preserve"> 18 </w:t>
      </w:r>
    </w:p>
    <w:p w:rsidR="002C3E2C" w:rsidRPr="00C3764A" w:rsidRDefault="00E52CEB" w:rsidP="002C3E2C">
      <w:pPr>
        <w:ind w:left="5"/>
        <w:jc w:val="center"/>
        <w:rPr>
          <w:lang w:val="en-US"/>
        </w:rPr>
      </w:pPr>
      <w:hyperlink r:id="rId6">
        <w:r w:rsidR="002C3E2C" w:rsidRPr="00013790">
          <w:rPr>
            <w:b/>
            <w:i/>
            <w:lang w:val="en-US"/>
          </w:rPr>
          <w:t xml:space="preserve"> </w:t>
        </w:r>
      </w:hyperlink>
      <w:hyperlink r:id="rId7">
        <w:r w:rsidR="002C3E2C" w:rsidRPr="00C3764A">
          <w:rPr>
            <w:b/>
            <w:i/>
            <w:lang w:val="en-US"/>
          </w:rPr>
          <w:t>foresight</w:t>
        </w:r>
      </w:hyperlink>
      <w:hyperlink r:id="rId8">
        <w:r w:rsidR="002C3E2C" w:rsidRPr="00C3764A">
          <w:rPr>
            <w:b/>
            <w:i/>
            <w:lang w:val="en-US"/>
          </w:rPr>
          <w:t>-</w:t>
        </w:r>
      </w:hyperlink>
      <w:hyperlink r:id="rId9">
        <w:r w:rsidR="002C3E2C" w:rsidRPr="00C3764A">
          <w:rPr>
            <w:b/>
            <w:i/>
            <w:lang w:val="en-US"/>
          </w:rPr>
          <w:t>agency</w:t>
        </w:r>
      </w:hyperlink>
      <w:hyperlink r:id="rId10">
        <w:r w:rsidR="002C3E2C" w:rsidRPr="00C3764A">
          <w:rPr>
            <w:b/>
            <w:i/>
            <w:lang w:val="en-US"/>
          </w:rPr>
          <w:t>.</w:t>
        </w:r>
      </w:hyperlink>
      <w:hyperlink r:id="rId11">
        <w:r w:rsidR="002C3E2C" w:rsidRPr="00C3764A">
          <w:rPr>
            <w:b/>
            <w:i/>
            <w:lang w:val="en-US"/>
          </w:rPr>
          <w:t>com</w:t>
        </w:r>
      </w:hyperlink>
      <w:hyperlink r:id="rId12">
        <w:r w:rsidR="002C3E2C" w:rsidRPr="00C3764A">
          <w:rPr>
            <w:b/>
            <w:i/>
            <w:lang w:val="en-US"/>
          </w:rPr>
          <w:t>;</w:t>
        </w:r>
      </w:hyperlink>
      <w:r w:rsidR="002C3E2C" w:rsidRPr="00C3764A">
        <w:rPr>
          <w:b/>
          <w:i/>
          <w:lang w:val="en-US"/>
        </w:rPr>
        <w:t xml:space="preserve">    </w:t>
      </w:r>
      <w:r w:rsidR="002C3E2C">
        <w:rPr>
          <w:b/>
          <w:i/>
        </w:rPr>
        <w:t>е</w:t>
      </w:r>
      <w:r w:rsidR="002C3E2C" w:rsidRPr="00C3764A">
        <w:rPr>
          <w:b/>
          <w:i/>
          <w:lang w:val="en-US"/>
        </w:rPr>
        <w:t>-</w:t>
      </w:r>
      <w:r w:rsidR="00013790">
        <w:rPr>
          <w:b/>
          <w:i/>
          <w:lang w:val="en-US"/>
        </w:rPr>
        <w:t>mail: ambliokor.kharkiv@ukr.net</w:t>
      </w:r>
      <w:r w:rsidR="002C3E2C" w:rsidRPr="00C3764A">
        <w:rPr>
          <w:b/>
          <w:i/>
          <w:lang w:val="en-US"/>
        </w:rPr>
        <w:t xml:space="preserve"> </w:t>
      </w:r>
    </w:p>
    <w:p w:rsidR="002C3E2C" w:rsidRDefault="002C3E2C" w:rsidP="002C3E2C">
      <w:pPr>
        <w:tabs>
          <w:tab w:val="center" w:pos="4818"/>
          <w:tab w:val="center" w:pos="8447"/>
          <w:tab w:val="center" w:pos="8927"/>
        </w:tabs>
      </w:pPr>
      <w:r w:rsidRPr="00C3764A">
        <w:rPr>
          <w:b/>
          <w:i/>
          <w:lang w:val="en-US"/>
        </w:rPr>
        <w:t xml:space="preserve"> </w:t>
      </w:r>
      <w:r w:rsidRPr="00C3764A">
        <w:rPr>
          <w:b/>
          <w:i/>
          <w:lang w:val="en-US"/>
        </w:rPr>
        <w:tab/>
      </w:r>
      <w:r>
        <w:rPr>
          <w:b/>
          <w:i/>
        </w:rPr>
        <w:t>тел.  099-791-96-42; 096-978-14-68</w:t>
      </w:r>
      <w:r>
        <w:rPr>
          <w:b/>
          <w:i/>
          <w:color w:val="365F91"/>
        </w:rPr>
        <w:t xml:space="preserve"> </w:t>
      </w:r>
      <w:r>
        <w:rPr>
          <w:b/>
          <w:i/>
          <w:color w:val="365F91"/>
        </w:rPr>
        <w:tab/>
        <w:t xml:space="preserve"> </w:t>
      </w:r>
      <w:r>
        <w:rPr>
          <w:b/>
          <w:i/>
          <w:color w:val="365F91"/>
        </w:rPr>
        <w:tab/>
        <w:t xml:space="preserve"> </w:t>
      </w:r>
    </w:p>
    <w:p w:rsidR="002C3E2C" w:rsidRPr="002C3E2C" w:rsidRDefault="00013790" w:rsidP="002C3E2C">
      <w:pPr>
        <w:spacing w:after="5"/>
        <w:ind w:left="-29" w:right="-33"/>
        <w:rPr>
          <w:lang w:val="uk-UA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5978525" cy="18415"/>
                <wp:effectExtent l="0" t="0" r="0" b="1270"/>
                <wp:docPr id="2" name="Group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59783" cy="182"/>
                        </a:xfrm>
                      </wpg:grpSpPr>
                      <wps:wsp>
                        <wps:cNvPr id="3" name="Shape 15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3" cy="18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18288"/>
                              <a:gd name="T2" fmla="*/ 5978398 w 5978398"/>
                              <a:gd name="T3" fmla="*/ 0 h 18288"/>
                              <a:gd name="T4" fmla="*/ 5978398 w 5978398"/>
                              <a:gd name="T5" fmla="*/ 18288 h 18288"/>
                              <a:gd name="T6" fmla="*/ 0 w 5978398"/>
                              <a:gd name="T7" fmla="*/ 18288 h 18288"/>
                              <a:gd name="T8" fmla="*/ 0 w 5978398"/>
                              <a:gd name="T9" fmla="*/ 0 h 18288"/>
                              <a:gd name="T10" fmla="*/ 0 w 5978398"/>
                              <a:gd name="T11" fmla="*/ 0 h 18288"/>
                              <a:gd name="T12" fmla="*/ 5978398 w 597839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A38AC" id="Group 1334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">
                <v:shape id="Shape 1539" o:spid="_x0000_s1027" style="position:absolute;width:59783;height:182;visibility:visible;mso-wrap-style:square;v-text-anchor:top" coordsize="59783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" path="m,l5978398,r,18288l,18288,,e" fillcolor="black" stroked="f" strokeweight="0">
                  <v:stroke miterlimit="83231f" joinstyle="miter"/>
                  <v:path arrowok="t" o:connecttype="custom" o:connectlocs="0,0;59783,0;59783,182;0,182;0,0" o:connectangles="0,0,0,0,0" textboxrect="0,0,5978398,18288"/>
                </v:shape>
                <w10:anchorlock/>
              </v:group>
            </w:pict>
          </mc:Fallback>
        </mc:AlternateContent>
      </w:r>
    </w:p>
    <w:p w:rsidR="001527DB" w:rsidRPr="001527DB" w:rsidRDefault="001527DB" w:rsidP="00013790">
      <w:pPr>
        <w:keepNext/>
        <w:autoSpaceDE w:val="0"/>
        <w:autoSpaceDN w:val="0"/>
        <w:ind w:firstLine="0"/>
        <w:outlineLvl w:val="2"/>
        <w:rPr>
          <w:rFonts w:eastAsia="Times New Roman" w:cs="Times New Roman"/>
          <w:b/>
          <w:bCs/>
          <w:sz w:val="32"/>
          <w:szCs w:val="32"/>
          <w:lang w:val="uk-UA"/>
        </w:rPr>
      </w:pPr>
    </w:p>
    <w:p w:rsidR="00013790" w:rsidRPr="00013790" w:rsidRDefault="00013790" w:rsidP="00013790">
      <w:pPr>
        <w:autoSpaceDE w:val="0"/>
        <w:autoSpaceDN w:val="0"/>
        <w:ind w:left="720" w:firstLine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013790">
        <w:rPr>
          <w:rFonts w:ascii="Arial" w:eastAsia="Times New Roman" w:hAnsi="Arial" w:cs="Arial"/>
          <w:b/>
          <w:bCs/>
          <w:sz w:val="26"/>
          <w:szCs w:val="26"/>
        </w:rPr>
        <w:t xml:space="preserve">КОМПЛЕКС ДЛЯ КОРРЕКЦИИ ФУНКЦИЙ МЫШЦ </w:t>
      </w:r>
    </w:p>
    <w:p w:rsidR="00013790" w:rsidRPr="00013790" w:rsidRDefault="00013790" w:rsidP="00013790">
      <w:pPr>
        <w:autoSpaceDE w:val="0"/>
        <w:autoSpaceDN w:val="0"/>
        <w:ind w:left="720" w:firstLine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013790">
        <w:rPr>
          <w:rFonts w:ascii="Arial" w:eastAsia="Times New Roman" w:hAnsi="Arial" w:cs="Arial"/>
          <w:b/>
          <w:bCs/>
          <w:sz w:val="26"/>
          <w:szCs w:val="26"/>
        </w:rPr>
        <w:t>ТАЗОВОГО ДНА «</w:t>
      </w:r>
      <w:proofErr w:type="spellStart"/>
      <w:r w:rsidRPr="00013790">
        <w:rPr>
          <w:rFonts w:ascii="Arial" w:eastAsia="Times New Roman" w:hAnsi="Arial" w:cs="Arial"/>
          <w:b/>
          <w:bCs/>
          <w:sz w:val="26"/>
          <w:szCs w:val="26"/>
        </w:rPr>
        <w:t>Уропроктокор</w:t>
      </w:r>
      <w:proofErr w:type="spellEnd"/>
      <w:r w:rsidRPr="00013790">
        <w:rPr>
          <w:rFonts w:ascii="Arial" w:eastAsia="Times New Roman" w:hAnsi="Arial" w:cs="Arial"/>
          <w:b/>
          <w:bCs/>
          <w:sz w:val="26"/>
          <w:szCs w:val="26"/>
        </w:rPr>
        <w:t xml:space="preserve">» </w:t>
      </w:r>
      <w:r w:rsidRPr="00013790">
        <w:rPr>
          <w:rFonts w:ascii="Arial" w:eastAsia="Times New Roman" w:hAnsi="Arial" w:cs="Arial"/>
          <w:b/>
          <w:bCs/>
          <w:spacing w:val="-2"/>
          <w:sz w:val="26"/>
          <w:szCs w:val="26"/>
        </w:rPr>
        <w:t>(</w:t>
      </w:r>
      <w:proofErr w:type="spellStart"/>
      <w:r w:rsidRPr="00013790">
        <w:rPr>
          <w:rFonts w:ascii="Arial" w:eastAsia="Times New Roman" w:hAnsi="Arial" w:cs="Arial"/>
          <w:b/>
          <w:bCs/>
          <w:spacing w:val="-2"/>
          <w:sz w:val="26"/>
          <w:szCs w:val="26"/>
        </w:rPr>
        <w:t>Амблиокор</w:t>
      </w:r>
      <w:r w:rsidRPr="00013790">
        <w:rPr>
          <w:rFonts w:ascii="Arial" w:eastAsia="Times New Roman" w:hAnsi="Arial" w:cs="Arial"/>
          <w:b/>
          <w:bCs/>
          <w:spacing w:val="-2"/>
          <w:sz w:val="26"/>
          <w:szCs w:val="26"/>
          <w:vertAlign w:val="superscript"/>
        </w:rPr>
        <w:t>ТМ</w:t>
      </w:r>
      <w:proofErr w:type="spellEnd"/>
      <w:r w:rsidRPr="00013790">
        <w:rPr>
          <w:rFonts w:ascii="Arial" w:eastAsia="Times New Roman" w:hAnsi="Arial" w:cs="Arial"/>
          <w:b/>
          <w:bCs/>
          <w:spacing w:val="-2"/>
          <w:sz w:val="26"/>
          <w:szCs w:val="26"/>
          <w:vertAlign w:val="superscript"/>
        </w:rPr>
        <w:t xml:space="preserve"> </w:t>
      </w:r>
      <w:r w:rsidRPr="00013790">
        <w:rPr>
          <w:rFonts w:ascii="Arial" w:eastAsia="Times New Roman" w:hAnsi="Arial" w:cs="Arial"/>
          <w:b/>
          <w:bCs/>
          <w:spacing w:val="-2"/>
          <w:sz w:val="26"/>
          <w:szCs w:val="26"/>
        </w:rPr>
        <w:t>– 01У»)</w:t>
      </w:r>
    </w:p>
    <w:p w:rsidR="00013790" w:rsidRPr="00013790" w:rsidRDefault="00013790" w:rsidP="00013790">
      <w:pPr>
        <w:autoSpaceDE w:val="0"/>
        <w:autoSpaceDN w:val="0"/>
        <w:ind w:firstLine="720"/>
        <w:jc w:val="center"/>
        <w:rPr>
          <w:rFonts w:ascii="Arial Narrow" w:eastAsia="Times New Roman" w:hAnsi="Arial Narrow" w:cs="Arial Narrow"/>
          <w:sz w:val="24"/>
          <w:szCs w:val="24"/>
        </w:rPr>
      </w:pPr>
    </w:p>
    <w:p w:rsidR="00013790" w:rsidRPr="00013790" w:rsidRDefault="00013790" w:rsidP="00013790">
      <w:pPr>
        <w:keepNext/>
        <w:autoSpaceDE w:val="0"/>
        <w:autoSpaceDN w:val="0"/>
        <w:ind w:left="2160" w:firstLine="720"/>
        <w:outlineLvl w:val="5"/>
        <w:rPr>
          <w:rFonts w:ascii="Arial Narrow" w:eastAsia="Times New Roman" w:hAnsi="Arial Narrow" w:cs="Arial Narrow"/>
          <w:b/>
          <w:bCs/>
          <w:i/>
          <w:iCs/>
          <w:sz w:val="24"/>
          <w:szCs w:val="24"/>
        </w:rPr>
      </w:pPr>
      <w:r w:rsidRPr="00013790">
        <w:rPr>
          <w:rFonts w:ascii="Arial Narrow" w:eastAsia="Times New Roman" w:hAnsi="Arial Narrow" w:cs="Arial Narrow"/>
          <w:b/>
          <w:bCs/>
          <w:i/>
          <w:iCs/>
          <w:sz w:val="24"/>
          <w:szCs w:val="24"/>
        </w:rPr>
        <w:t xml:space="preserve">КОММЕРЧЕСКОЕ ПРЕДЛОЖЕНИЕ </w:t>
      </w:r>
    </w:p>
    <w:p w:rsidR="00013790" w:rsidRPr="00013790" w:rsidRDefault="00013790" w:rsidP="00013790">
      <w:pPr>
        <w:autoSpaceDE w:val="0"/>
        <w:autoSpaceDN w:val="0"/>
        <w:ind w:firstLine="0"/>
        <w:jc w:val="center"/>
        <w:rPr>
          <w:rFonts w:ascii="Arial Narrow" w:eastAsia="Times New Roman" w:hAnsi="Arial Narrow" w:cs="Arial Narrow"/>
          <w:sz w:val="18"/>
          <w:szCs w:val="18"/>
        </w:rPr>
      </w:pPr>
    </w:p>
    <w:p w:rsidR="00013790" w:rsidRPr="00013790" w:rsidRDefault="00013790" w:rsidP="00013790">
      <w:pPr>
        <w:autoSpaceDE w:val="0"/>
        <w:autoSpaceDN w:val="0"/>
        <w:spacing w:line="180" w:lineRule="atLeast"/>
        <w:ind w:firstLine="720"/>
        <w:jc w:val="both"/>
        <w:rPr>
          <w:rFonts w:ascii="Arial Narrow" w:eastAsia="Times New Roman" w:hAnsi="Arial Narrow" w:cs="Tahoma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>Компания</w:t>
      </w:r>
      <w:r>
        <w:rPr>
          <w:rFonts w:ascii="Arial Narrow" w:eastAsia="Times New Roman" w:hAnsi="Arial Narrow" w:cs="Arial Narrow"/>
          <w:sz w:val="22"/>
        </w:rPr>
        <w:t xml:space="preserve"> Форсайт-</w:t>
      </w:r>
      <w:proofErr w:type="spellStart"/>
      <w:r>
        <w:rPr>
          <w:rFonts w:ascii="Arial Narrow" w:eastAsia="Times New Roman" w:hAnsi="Arial Narrow" w:cs="Arial Narrow"/>
          <w:sz w:val="22"/>
        </w:rPr>
        <w:t>Медтех</w:t>
      </w:r>
      <w:proofErr w:type="spellEnd"/>
      <w:r>
        <w:rPr>
          <w:rFonts w:ascii="Arial Narrow" w:eastAsia="Times New Roman" w:hAnsi="Arial Narrow" w:cs="Arial Narrow"/>
          <w:sz w:val="22"/>
        </w:rPr>
        <w:t xml:space="preserve"> является генеральным представительством </w:t>
      </w:r>
      <w:proofErr w:type="gramStart"/>
      <w:r>
        <w:rPr>
          <w:rFonts w:ascii="Arial Narrow" w:eastAsia="Times New Roman" w:hAnsi="Arial Narrow" w:cs="Arial Narrow"/>
          <w:sz w:val="22"/>
        </w:rPr>
        <w:t xml:space="preserve">Компании </w:t>
      </w:r>
      <w:r w:rsidRPr="00013790">
        <w:rPr>
          <w:rFonts w:ascii="Arial Narrow" w:eastAsia="Times New Roman" w:hAnsi="Arial Narrow" w:cs="Arial Narrow"/>
          <w:sz w:val="22"/>
        </w:rPr>
        <w:t xml:space="preserve"> НПЦ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«Ин 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Витро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>»</w:t>
      </w:r>
      <w:r>
        <w:rPr>
          <w:rFonts w:ascii="Arial Narrow" w:eastAsia="Times New Roman" w:hAnsi="Arial Narrow" w:cs="Arial Narrow"/>
          <w:sz w:val="22"/>
        </w:rPr>
        <w:t xml:space="preserve"> в Украине. Предлагаем</w:t>
      </w:r>
      <w:r w:rsidRPr="00013790">
        <w:rPr>
          <w:rFonts w:ascii="Arial Narrow" w:eastAsia="Times New Roman" w:hAnsi="Arial Narrow" w:cs="Arial Narrow"/>
          <w:sz w:val="22"/>
        </w:rPr>
        <w:t xml:space="preserve"> лечебный</w:t>
      </w:r>
      <w:r w:rsidRPr="00013790">
        <w:rPr>
          <w:rFonts w:ascii="Arial Narrow" w:eastAsia="Times New Roman" w:hAnsi="Arial Narrow" w:cs="Tahoma"/>
          <w:sz w:val="22"/>
        </w:rPr>
        <w:t xml:space="preserve"> комплекс </w:t>
      </w:r>
      <w:r w:rsidRPr="00013790">
        <w:rPr>
          <w:rFonts w:ascii="Arial Narrow" w:eastAsia="Times New Roman" w:hAnsi="Arial Narrow" w:cs="Arial Narrow"/>
          <w:b/>
          <w:bCs/>
          <w:sz w:val="22"/>
        </w:rPr>
        <w:t>«</w:t>
      </w:r>
      <w:proofErr w:type="spellStart"/>
      <w:proofErr w:type="gramStart"/>
      <w:r w:rsidRPr="00013790">
        <w:rPr>
          <w:rFonts w:ascii="Arial Narrow" w:eastAsia="Times New Roman" w:hAnsi="Arial Narrow" w:cs="Arial Narrow"/>
          <w:b/>
          <w:bCs/>
          <w:sz w:val="22"/>
        </w:rPr>
        <w:t>Уропроктокор</w:t>
      </w:r>
      <w:proofErr w:type="spellEnd"/>
      <w:r w:rsidRPr="00013790">
        <w:rPr>
          <w:rFonts w:ascii="Arial Narrow" w:eastAsia="Times New Roman" w:hAnsi="Arial Narrow" w:cs="Arial Narrow"/>
          <w:b/>
          <w:bCs/>
          <w:sz w:val="22"/>
        </w:rPr>
        <w:t xml:space="preserve">»  </w:t>
      </w:r>
      <w:r w:rsidRPr="00013790">
        <w:rPr>
          <w:rFonts w:ascii="Arial Narrow" w:eastAsia="Times New Roman" w:hAnsi="Arial Narrow" w:cs="Arial Narrow"/>
          <w:b/>
          <w:bCs/>
          <w:spacing w:val="-2"/>
          <w:sz w:val="22"/>
        </w:rPr>
        <w:t>(</w:t>
      </w:r>
      <w:proofErr w:type="spellStart"/>
      <w:proofErr w:type="gramEnd"/>
      <w:r w:rsidRPr="00013790">
        <w:rPr>
          <w:rFonts w:ascii="Arial Narrow" w:eastAsia="Times New Roman" w:hAnsi="Arial Narrow" w:cs="Arial Narrow"/>
          <w:b/>
          <w:bCs/>
          <w:spacing w:val="-2"/>
          <w:sz w:val="22"/>
        </w:rPr>
        <w:t>Амблиокор</w:t>
      </w:r>
      <w:r w:rsidRPr="00013790">
        <w:rPr>
          <w:rFonts w:ascii="Arial Narrow" w:eastAsia="Times New Roman" w:hAnsi="Arial Narrow" w:cs="Arial Narrow"/>
          <w:b/>
          <w:bCs/>
          <w:spacing w:val="-2"/>
          <w:sz w:val="22"/>
          <w:vertAlign w:val="superscript"/>
        </w:rPr>
        <w:t>ТМ</w:t>
      </w:r>
      <w:proofErr w:type="spellEnd"/>
      <w:r w:rsidRPr="00013790">
        <w:rPr>
          <w:rFonts w:ascii="Arial Narrow" w:eastAsia="Times New Roman" w:hAnsi="Arial Narrow" w:cs="Arial Narrow"/>
          <w:b/>
          <w:bCs/>
          <w:spacing w:val="-2"/>
          <w:sz w:val="22"/>
          <w:vertAlign w:val="superscript"/>
        </w:rPr>
        <w:t xml:space="preserve"> </w:t>
      </w:r>
      <w:r w:rsidRPr="00013790">
        <w:rPr>
          <w:rFonts w:ascii="Arial Narrow" w:eastAsia="Times New Roman" w:hAnsi="Arial Narrow" w:cs="Arial Narrow"/>
          <w:b/>
          <w:bCs/>
          <w:spacing w:val="-2"/>
          <w:sz w:val="22"/>
        </w:rPr>
        <w:t>– 01У»)</w:t>
      </w:r>
      <w:r w:rsidRPr="00013790">
        <w:rPr>
          <w:rFonts w:ascii="Arial Narrow" w:eastAsia="Times New Roman" w:hAnsi="Arial Narrow" w:cs="Arial Narrow"/>
          <w:spacing w:val="-2"/>
          <w:sz w:val="22"/>
        </w:rPr>
        <w:t>, предназначенный</w:t>
      </w:r>
      <w:r w:rsidRPr="00013790">
        <w:rPr>
          <w:rFonts w:ascii="Arial Narrow" w:eastAsia="Times New Roman" w:hAnsi="Arial Narrow" w:cs="Tahoma"/>
          <w:spacing w:val="-2"/>
          <w:sz w:val="22"/>
        </w:rPr>
        <w:t xml:space="preserve"> для лечения широкого спектра урологических, </w:t>
      </w:r>
      <w:r w:rsidRPr="00013790">
        <w:rPr>
          <w:rFonts w:ascii="Arial Narrow" w:eastAsia="Times New Roman" w:hAnsi="Arial Narrow" w:cs="Tahoma"/>
          <w:sz w:val="22"/>
        </w:rPr>
        <w:t xml:space="preserve">гинекологических и </w:t>
      </w:r>
      <w:r w:rsidRPr="00013790">
        <w:rPr>
          <w:rFonts w:ascii="Arial Narrow" w:eastAsia="Times New Roman" w:hAnsi="Arial Narrow" w:cs="Tahoma"/>
          <w:spacing w:val="-2"/>
          <w:sz w:val="22"/>
        </w:rPr>
        <w:t>проктологических</w:t>
      </w:r>
      <w:r w:rsidRPr="00013790">
        <w:rPr>
          <w:rFonts w:ascii="Arial Narrow" w:eastAsia="Times New Roman" w:hAnsi="Arial Narrow" w:cs="Tahoma"/>
          <w:sz w:val="22"/>
        </w:rPr>
        <w:t xml:space="preserve"> заболеваний. С помощью прибора «</w:t>
      </w:r>
      <w:proofErr w:type="spellStart"/>
      <w:r w:rsidRPr="00013790">
        <w:rPr>
          <w:rFonts w:ascii="Arial Narrow" w:eastAsia="Times New Roman" w:hAnsi="Arial Narrow" w:cs="Tahoma"/>
          <w:sz w:val="22"/>
        </w:rPr>
        <w:t>Уропроктокор</w:t>
      </w:r>
      <w:proofErr w:type="spellEnd"/>
      <w:r w:rsidRPr="00013790">
        <w:rPr>
          <w:rFonts w:ascii="Arial Narrow" w:eastAsia="Times New Roman" w:hAnsi="Arial Narrow" w:cs="Tahoma"/>
          <w:sz w:val="22"/>
        </w:rPr>
        <w:t>» производится коррекция ряда сексуальных расстройств у мужчин и женщин, нарушений мочеиспускания.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Tahoma"/>
          <w:b/>
          <w:sz w:val="22"/>
        </w:rPr>
      </w:pPr>
      <w:r w:rsidRPr="00013790">
        <w:rPr>
          <w:rFonts w:ascii="Arial Narrow" w:eastAsia="Times New Roman" w:hAnsi="Arial Narrow" w:cs="Tahoma"/>
          <w:b/>
          <w:sz w:val="22"/>
        </w:rPr>
        <w:t>Курс лечения состоит из 15 – 20 получасовых сеансов.</w:t>
      </w:r>
    </w:p>
    <w:p w:rsidR="00013790" w:rsidRPr="00013790" w:rsidRDefault="00013790" w:rsidP="00013790">
      <w:pPr>
        <w:autoSpaceDE w:val="0"/>
        <w:autoSpaceDN w:val="0"/>
        <w:spacing w:line="180" w:lineRule="atLeast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>Показаниями к применению прибора являются:</w:t>
      </w:r>
    </w:p>
    <w:p w:rsidR="00013790" w:rsidRPr="00013790" w:rsidRDefault="00013790" w:rsidP="00013790">
      <w:pPr>
        <w:autoSpaceDE w:val="0"/>
        <w:autoSpaceDN w:val="0"/>
        <w:spacing w:line="18" w:lineRule="atLeast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bCs/>
          <w:sz w:val="22"/>
        </w:rPr>
        <w:t xml:space="preserve">● </w:t>
      </w:r>
      <w:r w:rsidRPr="00013790">
        <w:rPr>
          <w:rFonts w:ascii="Arial Narrow" w:eastAsia="Times New Roman" w:hAnsi="Arial Narrow" w:cs="Arial Narrow"/>
          <w:b/>
          <w:bCs/>
          <w:sz w:val="22"/>
        </w:rPr>
        <w:t>В урологии:</w:t>
      </w:r>
      <w:r w:rsidRPr="00013790">
        <w:rPr>
          <w:rFonts w:ascii="Arial Narrow" w:eastAsia="Times New Roman" w:hAnsi="Arial Narrow" w:cs="Tahoma"/>
          <w:sz w:val="22"/>
        </w:rPr>
        <w:t xml:space="preserve"> стрессовое недержание мочи легкой степени тяжести; стрессовое недержание мочи средней и тяжелой степеней тяжести, как этап подготовки к оперативному лечению;  стрессовое недержание мочи любой степени тяжести при невозможности выполнения хирургического вмешательства из-за сопутствующей </w:t>
      </w:r>
      <w:proofErr w:type="spellStart"/>
      <w:r w:rsidRPr="00013790">
        <w:rPr>
          <w:rFonts w:ascii="Arial Narrow" w:eastAsia="Times New Roman" w:hAnsi="Arial Narrow" w:cs="Tahoma"/>
          <w:sz w:val="22"/>
        </w:rPr>
        <w:t>экстрагенитальной</w:t>
      </w:r>
      <w:proofErr w:type="spellEnd"/>
      <w:r w:rsidRPr="00013790">
        <w:rPr>
          <w:rFonts w:ascii="Arial Narrow" w:eastAsia="Times New Roman" w:hAnsi="Arial Narrow" w:cs="Tahoma"/>
          <w:sz w:val="22"/>
        </w:rPr>
        <w:t xml:space="preserve"> патологии; императивные (ургентные) формы нарушения мочеиспускания; комбинированная форма недержания мочи; </w:t>
      </w:r>
      <w:r w:rsidRPr="00013790">
        <w:rPr>
          <w:rFonts w:ascii="Arial Narrow" w:eastAsia="Times New Roman" w:hAnsi="Arial Narrow" w:cs="Arial Narrow"/>
          <w:sz w:val="22"/>
        </w:rPr>
        <w:t xml:space="preserve">синдром хронической тазовой боли, 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цисталгия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>, нейрогенные расстройства мочеиспускания у мужчин;</w:t>
      </w:r>
      <w:r w:rsidRPr="00013790">
        <w:rPr>
          <w:rFonts w:ascii="Tahoma" w:eastAsia="Times New Roman" w:hAnsi="Tahoma" w:cs="Tahom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13790" w:rsidRPr="00013790" w:rsidRDefault="00013790" w:rsidP="00013790">
      <w:pPr>
        <w:autoSpaceDE w:val="0"/>
        <w:autoSpaceDN w:val="0"/>
        <w:spacing w:line="18" w:lineRule="atLeast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bCs/>
          <w:sz w:val="22"/>
        </w:rPr>
        <w:t xml:space="preserve">● </w:t>
      </w:r>
      <w:r w:rsidRPr="00013790">
        <w:rPr>
          <w:rFonts w:ascii="Arial Narrow" w:eastAsia="Times New Roman" w:hAnsi="Arial Narrow" w:cs="Arial Narrow"/>
          <w:b/>
          <w:bCs/>
          <w:sz w:val="22"/>
        </w:rPr>
        <w:t xml:space="preserve">В гинекологии: </w:t>
      </w:r>
      <w:r w:rsidRPr="00013790">
        <w:rPr>
          <w:rFonts w:ascii="Arial Narrow" w:eastAsia="Times New Roman" w:hAnsi="Arial Narrow" w:cs="Arial Narrow"/>
          <w:bCs/>
          <w:sz w:val="22"/>
        </w:rPr>
        <w:t xml:space="preserve">реабилитация в послеродовом и послеоперационном </w:t>
      </w:r>
      <w:proofErr w:type="gramStart"/>
      <w:r w:rsidRPr="00013790">
        <w:rPr>
          <w:rFonts w:ascii="Arial Narrow" w:eastAsia="Times New Roman" w:hAnsi="Arial Narrow" w:cs="Arial Narrow"/>
          <w:bCs/>
          <w:sz w:val="22"/>
        </w:rPr>
        <w:t>периодах,  опущение</w:t>
      </w:r>
      <w:proofErr w:type="gramEnd"/>
      <w:r w:rsidRPr="00013790">
        <w:rPr>
          <w:rFonts w:ascii="Arial Narrow" w:eastAsia="Times New Roman" w:hAnsi="Arial Narrow" w:cs="Arial Narrow"/>
          <w:bCs/>
          <w:sz w:val="22"/>
        </w:rPr>
        <w:t xml:space="preserve"> органов малого таза, снижение тонуса мышц тазового дна, купирование климактерических расстройств</w:t>
      </w:r>
      <w:r w:rsidRPr="00013790">
        <w:rPr>
          <w:rFonts w:ascii="Arial Narrow" w:eastAsia="Times New Roman" w:hAnsi="Arial Narrow" w:cs="Arial Narrow"/>
          <w:sz w:val="22"/>
        </w:rPr>
        <w:t>;</w:t>
      </w:r>
    </w:p>
    <w:p w:rsidR="00013790" w:rsidRPr="00013790" w:rsidRDefault="00013790" w:rsidP="00013790">
      <w:pPr>
        <w:autoSpaceDE w:val="0"/>
        <w:autoSpaceDN w:val="0"/>
        <w:spacing w:line="18" w:lineRule="atLeast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bCs/>
          <w:sz w:val="22"/>
        </w:rPr>
        <w:t xml:space="preserve">● </w:t>
      </w:r>
      <w:proofErr w:type="gramStart"/>
      <w:r w:rsidRPr="00013790">
        <w:rPr>
          <w:rFonts w:ascii="Arial Narrow" w:eastAsia="Times New Roman" w:hAnsi="Arial Narrow" w:cs="Arial Narrow"/>
          <w:b/>
          <w:bCs/>
          <w:sz w:val="22"/>
        </w:rPr>
        <w:t>В</w:t>
      </w:r>
      <w:proofErr w:type="gramEnd"/>
      <w:r w:rsidRPr="00013790">
        <w:rPr>
          <w:rFonts w:ascii="Arial Narrow" w:eastAsia="Times New Roman" w:hAnsi="Arial Narrow" w:cs="Arial Narrow"/>
          <w:b/>
          <w:bCs/>
          <w:sz w:val="22"/>
        </w:rPr>
        <w:t xml:space="preserve"> проктологии:</w:t>
      </w:r>
      <w:r w:rsidRPr="00013790">
        <w:rPr>
          <w:rFonts w:ascii="Arial Narrow" w:eastAsia="Times New Roman" w:hAnsi="Arial Narrow" w:cs="Arial Narrow"/>
          <w:sz w:val="22"/>
        </w:rPr>
        <w:t xml:space="preserve"> лечение геморроя, восстановление функций сфинктера после операций, недержание кала (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энкопрез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>) у детей;</w:t>
      </w:r>
    </w:p>
    <w:p w:rsidR="00013790" w:rsidRPr="00013790" w:rsidRDefault="00013790" w:rsidP="00013790">
      <w:pPr>
        <w:autoSpaceDE w:val="0"/>
        <w:autoSpaceDN w:val="0"/>
        <w:spacing w:line="18" w:lineRule="atLeast"/>
        <w:ind w:firstLine="0"/>
        <w:jc w:val="both"/>
        <w:rPr>
          <w:rFonts w:ascii="Arial Narrow" w:eastAsia="Times New Roman" w:hAnsi="Arial Narrow" w:cs="Arial Narrow"/>
          <w:b/>
          <w:bCs/>
          <w:spacing w:val="-2"/>
          <w:sz w:val="22"/>
        </w:rPr>
      </w:pPr>
      <w:r w:rsidRPr="00013790">
        <w:rPr>
          <w:rFonts w:ascii="Arial Narrow" w:eastAsia="Times New Roman" w:hAnsi="Arial Narrow" w:cs="Arial Narrow"/>
          <w:bCs/>
          <w:sz w:val="22"/>
        </w:rPr>
        <w:t xml:space="preserve">● </w:t>
      </w:r>
      <w:r w:rsidRPr="00013790">
        <w:rPr>
          <w:rFonts w:ascii="Arial Narrow" w:eastAsia="Times New Roman" w:hAnsi="Arial Narrow" w:cs="Arial Narrow"/>
          <w:b/>
          <w:bCs/>
          <w:spacing w:val="-2"/>
          <w:sz w:val="22"/>
        </w:rPr>
        <w:t xml:space="preserve">При </w:t>
      </w:r>
      <w:proofErr w:type="gramStart"/>
      <w:r w:rsidRPr="00013790">
        <w:rPr>
          <w:rFonts w:ascii="Arial Narrow" w:eastAsia="Times New Roman" w:hAnsi="Arial Narrow" w:cs="Arial Narrow"/>
          <w:b/>
          <w:bCs/>
          <w:spacing w:val="-2"/>
          <w:sz w:val="22"/>
        </w:rPr>
        <w:t>сексопатологии:  (</w:t>
      </w:r>
      <w:proofErr w:type="gramEnd"/>
      <w:r w:rsidRPr="00013790">
        <w:rPr>
          <w:rFonts w:ascii="Arial Narrow" w:eastAsia="Times New Roman" w:hAnsi="Arial Narrow" w:cs="Arial Narrow"/>
          <w:b/>
          <w:bCs/>
          <w:spacing w:val="-2"/>
          <w:sz w:val="22"/>
        </w:rPr>
        <w:t xml:space="preserve">у мужчин) - </w:t>
      </w:r>
      <w:r w:rsidRPr="00013790">
        <w:rPr>
          <w:rFonts w:ascii="Arial Narrow" w:eastAsia="Times New Roman" w:hAnsi="Arial Narrow" w:cs="Arial Narrow"/>
          <w:spacing w:val="-2"/>
          <w:sz w:val="22"/>
        </w:rPr>
        <w:t xml:space="preserve">с целью восстановления </w:t>
      </w:r>
      <w:proofErr w:type="spellStart"/>
      <w:r w:rsidRPr="00013790">
        <w:rPr>
          <w:rFonts w:ascii="Arial Narrow" w:eastAsia="Times New Roman" w:hAnsi="Arial Narrow" w:cs="Arial Narrow"/>
          <w:spacing w:val="-2"/>
          <w:sz w:val="22"/>
        </w:rPr>
        <w:t>эректильной</w:t>
      </w:r>
      <w:proofErr w:type="spellEnd"/>
      <w:r w:rsidRPr="00013790">
        <w:rPr>
          <w:rFonts w:ascii="Arial Narrow" w:eastAsia="Times New Roman" w:hAnsi="Arial Narrow" w:cs="Arial Narrow"/>
          <w:spacing w:val="-2"/>
          <w:sz w:val="22"/>
        </w:rPr>
        <w:t xml:space="preserve"> функции и произвольного управления моментом семяизвержения, </w:t>
      </w:r>
      <w:r w:rsidRPr="00013790">
        <w:rPr>
          <w:rFonts w:ascii="Arial Narrow" w:eastAsia="Times New Roman" w:hAnsi="Arial Narrow" w:cs="Arial Narrow"/>
          <w:b/>
          <w:bCs/>
          <w:spacing w:val="-2"/>
          <w:sz w:val="22"/>
        </w:rPr>
        <w:t xml:space="preserve">(у женщин) -  </w:t>
      </w:r>
      <w:r w:rsidRPr="00013790">
        <w:rPr>
          <w:rFonts w:ascii="Arial Narrow" w:eastAsia="Times New Roman" w:hAnsi="Arial Narrow" w:cs="Arial Narrow"/>
          <w:spacing w:val="-2"/>
          <w:sz w:val="22"/>
        </w:rPr>
        <w:t xml:space="preserve">сужение входа во влагалище (сексуальная  реабилитация), лечение </w:t>
      </w:r>
      <w:proofErr w:type="spellStart"/>
      <w:r w:rsidRPr="00013790">
        <w:rPr>
          <w:rFonts w:ascii="Arial Narrow" w:eastAsia="Times New Roman" w:hAnsi="Arial Narrow" w:cs="Arial Narrow"/>
          <w:spacing w:val="-2"/>
          <w:sz w:val="22"/>
        </w:rPr>
        <w:t>аноргазмии</w:t>
      </w:r>
      <w:proofErr w:type="spellEnd"/>
      <w:r w:rsidRPr="00013790">
        <w:rPr>
          <w:rFonts w:ascii="Arial Narrow" w:eastAsia="Times New Roman" w:hAnsi="Arial Narrow" w:cs="Arial Narrow"/>
          <w:spacing w:val="-2"/>
          <w:sz w:val="22"/>
        </w:rPr>
        <w:t>, вагинизма.</w:t>
      </w: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>Физиологической основой высокого клинического эффекта является восстановление функций мышц тазового дна, в первую очередь сфинктеров, и значительное усиление локального кровообращения. Прибор работает следующим образом. Во влагалище или анальный канал вводятся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 xml:space="preserve">   (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у мужчин – на определённую область промежности накладываются) специальные датчики, которые регистрируют электрические сигналы с соответствующих мышц. Эти сигналы анализируются компьютером, который информирует пациента о том, как работают мышцы тазового дна. По командам прибора пациент учится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напрягать  и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расслаблять эти мышцы. Чтобы сделать работу с прибором максимально эффективной и приятной, применяется специальный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метод  эмоционального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подкрепления – демонстрация фильма или слайд-шоу.  Если напряжение мышц расценивается прибором как удовлетворительное, экран открывается, и пациент может видеть фильм. Если мышцы работают недостаточно активно, экран становится черным, лишая пользователя удовольствия смотреть фильм. Каждый сеанс длится 30 минут. Курс лечения 15 – 20 сеансов. </w:t>
      </w: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Tahoma" w:eastAsia="Times New Roman" w:hAnsi="Tahoma" w:cs="Tahoma"/>
          <w:noProof/>
          <w:sz w:val="22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40930744" wp14:editId="638AA1FA">
            <wp:simplePos x="0" y="0"/>
            <wp:positionH relativeFrom="column">
              <wp:posOffset>1875155</wp:posOffset>
            </wp:positionH>
            <wp:positionV relativeFrom="paragraph">
              <wp:posOffset>54610</wp:posOffset>
            </wp:positionV>
            <wp:extent cx="2012950" cy="1447165"/>
            <wp:effectExtent l="0" t="0" r="0" b="0"/>
            <wp:wrapTight wrapText="bothSides">
              <wp:wrapPolygon edited="0">
                <wp:start x="0" y="0"/>
                <wp:lineTo x="0" y="21325"/>
                <wp:lineTo x="21464" y="21325"/>
                <wp:lineTo x="21464" y="0"/>
                <wp:lineTo x="0" y="0"/>
              </wp:wrapPolygon>
            </wp:wrapTight>
            <wp:docPr id="1" name="Рисунок 1" descr="Прибор Настя Gyn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бор Настя Gyn коп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  <w:r w:rsidRPr="00013790">
        <w:rPr>
          <w:rFonts w:ascii="Arial Narrow" w:eastAsia="Times New Roman" w:hAnsi="Arial Narrow" w:cs="Arial Narrow"/>
          <w:b/>
          <w:bCs/>
          <w:sz w:val="22"/>
        </w:rPr>
        <w:tab/>
      </w:r>
      <w:r w:rsidRPr="00013790">
        <w:rPr>
          <w:rFonts w:ascii="Arial Narrow" w:eastAsia="Times New Roman" w:hAnsi="Arial Narrow" w:cs="Arial Narrow"/>
          <w:b/>
          <w:bCs/>
          <w:sz w:val="22"/>
        </w:rPr>
        <w:tab/>
      </w:r>
      <w:r w:rsidRPr="00013790">
        <w:rPr>
          <w:rFonts w:ascii="Arial Narrow" w:eastAsia="Times New Roman" w:hAnsi="Arial Narrow" w:cs="Arial Narrow"/>
          <w:b/>
          <w:bCs/>
          <w:sz w:val="22"/>
        </w:rPr>
        <w:tab/>
      </w: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b/>
          <w:bCs/>
          <w:sz w:val="22"/>
        </w:rPr>
        <w:t>При лечении недержания у детей</w:t>
      </w:r>
      <w:r w:rsidRPr="00013790">
        <w:rPr>
          <w:rFonts w:ascii="Arial Narrow" w:eastAsia="Times New Roman" w:hAnsi="Arial Narrow" w:cs="Arial Narrow"/>
          <w:sz w:val="22"/>
        </w:rPr>
        <w:t xml:space="preserve"> «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Уропроктокор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 xml:space="preserve">» также доказал свою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высокую  эффективность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.  Применение его в детской клинической практике в течение ряда лет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показало,  что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 дети даже дошкольного возраста хорошо понимают задание (выработка рефлекса на дефекацию), и уже  через 3 – 5 занятий правильно и полностью его выполняют. Существенную помощь в этом им оказывает одновременный с упражнением просмотр видео- или мультфильмов, поскольку включение или гашение экрана монитора при достижении (или, соответственно, не достижении) заданных параметров, создают у детей сильную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позитивную  мотивацию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к правильному выполнению задания. 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Поэтому  дети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легко  овладевают  навыками контроля функции дистального отдела толстой кишки и сфинктерного аппарата. Курс лечения составляет 14 – 16 ежедневных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тренировок  по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30 – 40 минут каждая.</w:t>
      </w: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b/>
          <w:bCs/>
          <w:sz w:val="22"/>
        </w:rPr>
        <w:t>Сексуальный эффект</w:t>
      </w:r>
      <w:r w:rsidRPr="00013790">
        <w:rPr>
          <w:rFonts w:ascii="Arial Narrow" w:eastAsia="Times New Roman" w:hAnsi="Arial Narrow" w:cs="Arial Narrow"/>
          <w:sz w:val="22"/>
        </w:rPr>
        <w:t xml:space="preserve"> достигается за счет усиления тонуса и увеличения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объема  мышц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малого таза 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bulbospongiousus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 xml:space="preserve"> и 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ischiocavernosus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 xml:space="preserve">. У мужчин эти мышцы участвуют в управлении оттока крови из пещеристых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тел  полового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члена. Поэтому увеличение их силы и объема определяет длительность и силу эрекции. У женщин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 xml:space="preserve">мышца  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bulbospongiousus</w:t>
      </w:r>
      <w:proofErr w:type="spellEnd"/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формирует вход во влагалище и управляет его размерами. Поэтому увеличение объема мышцы и ее произвольное напряжение при половом акте значительно усиливают 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фрикции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 xml:space="preserve"> и (совместно с мышцей 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ischiocavernosus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 xml:space="preserve">) прижимают пенис к клитору. Это в значительной мере увеличивает интенсивность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ощущений  у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партнёров и ускоряет наступление оргазма.   </w:t>
      </w: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>Кроме клинической сферы применения прибора «</w:t>
      </w:r>
      <w:proofErr w:type="spellStart"/>
      <w:r w:rsidRPr="00013790">
        <w:rPr>
          <w:rFonts w:ascii="Arial Narrow" w:eastAsia="Times New Roman" w:hAnsi="Arial Narrow" w:cs="Arial Narrow"/>
          <w:sz w:val="22"/>
        </w:rPr>
        <w:t>Уропроктокор</w:t>
      </w:r>
      <w:proofErr w:type="spellEnd"/>
      <w:r w:rsidRPr="00013790">
        <w:rPr>
          <w:rFonts w:ascii="Arial Narrow" w:eastAsia="Times New Roman" w:hAnsi="Arial Narrow" w:cs="Arial Narrow"/>
          <w:sz w:val="22"/>
        </w:rPr>
        <w:t xml:space="preserve">», с его помощью достигается очевидный </w:t>
      </w:r>
      <w:r w:rsidRPr="00013790">
        <w:rPr>
          <w:rFonts w:ascii="Arial Narrow" w:eastAsia="Times New Roman" w:hAnsi="Arial Narrow" w:cs="Arial Narrow"/>
          <w:b/>
          <w:bCs/>
          <w:sz w:val="22"/>
        </w:rPr>
        <w:t>«омолаживающий» эффект</w:t>
      </w:r>
      <w:r w:rsidRPr="00013790">
        <w:rPr>
          <w:rFonts w:ascii="Arial Narrow" w:eastAsia="Times New Roman" w:hAnsi="Arial Narrow" w:cs="Arial Narrow"/>
          <w:sz w:val="22"/>
        </w:rPr>
        <w:t xml:space="preserve">, поскольку использование прибора   приводит к значительному улучшению качества жизни пациентов, в том числе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и  старшей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 возрастной группы, улучшается их половая функция. Учитывая это, работа с прибором может быть рекомендована пациентам всем возрастных категорий с целью профилактики расстройств функций тазовых органов.</w:t>
      </w:r>
    </w:p>
    <w:p w:rsidR="00013790" w:rsidRPr="00013790" w:rsidRDefault="00013790" w:rsidP="00013790">
      <w:pPr>
        <w:autoSpaceDE w:val="0"/>
        <w:autoSpaceDN w:val="0"/>
        <w:ind w:firstLine="72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 xml:space="preserve">Оригинальное сочетание новейших достижений технологии биологической обратной связи </w:t>
      </w:r>
      <w:r w:rsidRPr="00013790">
        <w:rPr>
          <w:rFonts w:ascii="Arial Narrow" w:eastAsia="Times New Roman" w:hAnsi="Arial Narrow" w:cs="Arial Narrow"/>
          <w:b/>
          <w:bCs/>
          <w:sz w:val="22"/>
        </w:rPr>
        <w:t>(БОС)</w:t>
      </w:r>
      <w:r w:rsidRPr="00013790">
        <w:rPr>
          <w:rFonts w:ascii="Arial Narrow" w:eastAsia="Times New Roman" w:hAnsi="Arial Narrow" w:cs="Arial Narrow"/>
          <w:sz w:val="22"/>
        </w:rPr>
        <w:t xml:space="preserve"> с мотивационным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аутотренингом  позволяет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получить лечебный эффект, недостижимый при использовании традиционных методик, а также существенно ускорить процесс выздоровления пациентов. </w:t>
      </w: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color w:val="000000"/>
          <w:sz w:val="22"/>
        </w:rPr>
      </w:pPr>
      <w:r w:rsidRPr="00013790">
        <w:rPr>
          <w:rFonts w:ascii="Arial Narrow" w:eastAsia="Times New Roman" w:hAnsi="Arial Narrow" w:cs="Arial Narrow"/>
          <w:color w:val="000000"/>
          <w:sz w:val="22"/>
        </w:rPr>
        <w:t xml:space="preserve">Комплект поставки </w:t>
      </w:r>
      <w:proofErr w:type="gramStart"/>
      <w:r w:rsidRPr="00013790">
        <w:rPr>
          <w:rFonts w:ascii="Arial Narrow" w:eastAsia="Times New Roman" w:hAnsi="Arial Narrow" w:cs="Arial Narrow"/>
          <w:color w:val="000000"/>
          <w:sz w:val="22"/>
        </w:rPr>
        <w:t>прибора  «</w:t>
      </w:r>
      <w:proofErr w:type="spellStart"/>
      <w:proofErr w:type="gramEnd"/>
      <w:r w:rsidRPr="00013790">
        <w:rPr>
          <w:rFonts w:ascii="Arial Narrow" w:eastAsia="Times New Roman" w:hAnsi="Arial Narrow" w:cs="Arial Narrow"/>
          <w:color w:val="000000"/>
          <w:sz w:val="22"/>
        </w:rPr>
        <w:t>Уропроктокор</w:t>
      </w:r>
      <w:proofErr w:type="spellEnd"/>
      <w:r w:rsidRPr="00013790">
        <w:rPr>
          <w:rFonts w:ascii="Arial Narrow" w:eastAsia="Times New Roman" w:hAnsi="Arial Narrow" w:cs="Arial Narrow"/>
          <w:color w:val="000000"/>
          <w:sz w:val="22"/>
        </w:rPr>
        <w:t xml:space="preserve">» </w:t>
      </w:r>
      <w:r w:rsidRPr="00013790">
        <w:rPr>
          <w:rFonts w:ascii="Arial Narrow" w:eastAsia="Times New Roman" w:hAnsi="Arial Narrow" w:cs="Tahoma"/>
          <w:sz w:val="22"/>
        </w:rPr>
        <w:t>(«Амблиокор</w:t>
      </w:r>
      <w:r w:rsidRPr="00013790">
        <w:rPr>
          <w:rFonts w:ascii="Arial Narrow" w:eastAsia="Times New Roman" w:hAnsi="Arial Narrow" w:cs="Tahoma"/>
          <w:b/>
          <w:sz w:val="22"/>
          <w:vertAlign w:val="superscript"/>
        </w:rPr>
        <w:t>ТМ</w:t>
      </w:r>
      <w:r w:rsidRPr="00013790">
        <w:rPr>
          <w:rFonts w:ascii="Arial Narrow" w:eastAsia="Times New Roman" w:hAnsi="Arial Narrow" w:cs="Tahoma"/>
          <w:sz w:val="22"/>
        </w:rPr>
        <w:t>-01У»)</w:t>
      </w:r>
      <w:r w:rsidRPr="00013790">
        <w:rPr>
          <w:rFonts w:ascii="Arial Narrow" w:eastAsia="Times New Roman" w:hAnsi="Arial Narrow" w:cs="Arial Narrow"/>
          <w:color w:val="000000"/>
          <w:sz w:val="22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276"/>
      </w:tblGrid>
      <w:tr w:rsidR="00013790" w:rsidRPr="00013790" w:rsidTr="007141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90" w:rsidRPr="00013790" w:rsidRDefault="00013790" w:rsidP="00013790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13790">
              <w:rPr>
                <w:rFonts w:ascii="Arial" w:eastAsia="Times New Roman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90" w:rsidRPr="00013790" w:rsidRDefault="00013790" w:rsidP="00013790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13790">
              <w:rPr>
                <w:rFonts w:ascii="Arial Narrow" w:eastAsia="Times New Roman" w:hAnsi="Arial Narrow" w:cs="Arial"/>
                <w:bCs/>
                <w:sz w:val="22"/>
              </w:rPr>
              <w:t xml:space="preserve">Наименование </w:t>
            </w:r>
            <w:r w:rsidRPr="00013790">
              <w:rPr>
                <w:rFonts w:ascii="Arial Narrow" w:eastAsia="Times New Roman" w:hAnsi="Arial Narrow" w:cs="Courier New"/>
                <w:sz w:val="22"/>
              </w:rPr>
              <w:t>с</w:t>
            </w:r>
            <w:r w:rsidRPr="00013790">
              <w:rPr>
                <w:rFonts w:ascii="Arial Narrow" w:eastAsia="Times New Roman" w:hAnsi="Arial Narrow" w:cs="Courier New"/>
                <w:sz w:val="22"/>
                <w:szCs w:val="20"/>
              </w:rPr>
              <w:t xml:space="preserve">оставляющих </w:t>
            </w:r>
            <w:r w:rsidRPr="00013790">
              <w:rPr>
                <w:rFonts w:ascii="Arial Narrow" w:eastAsia="Times New Roman" w:hAnsi="Arial Narrow" w:cs="Courier New"/>
                <w:sz w:val="22"/>
              </w:rPr>
              <w:t>прибор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790" w:rsidRPr="00013790" w:rsidRDefault="00013790" w:rsidP="00013790">
            <w:pPr>
              <w:ind w:firstLine="0"/>
              <w:jc w:val="center"/>
              <w:rPr>
                <w:rFonts w:ascii="Arial" w:eastAsia="Times New Roman" w:hAnsi="Arial" w:cs="Arial"/>
                <w:bCs/>
                <w:spacing w:val="-6"/>
                <w:sz w:val="20"/>
                <w:szCs w:val="20"/>
              </w:rPr>
            </w:pPr>
            <w:r w:rsidRPr="00013790">
              <w:rPr>
                <w:rFonts w:ascii="Arial" w:eastAsia="Times New Roman" w:hAnsi="Arial" w:cs="Arial"/>
                <w:bCs/>
                <w:spacing w:val="-6"/>
                <w:sz w:val="20"/>
                <w:szCs w:val="20"/>
              </w:rPr>
              <w:t>Количество</w:t>
            </w:r>
          </w:p>
        </w:tc>
      </w:tr>
      <w:tr w:rsidR="00013790" w:rsidRPr="00013790" w:rsidTr="007141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2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4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5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16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Блок-преобразователь </w:t>
            </w:r>
            <w:r w:rsidRPr="0001379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(БП)</w:t>
            </w: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электромиограммы</w:t>
            </w:r>
            <w:proofErr w:type="spellEnd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(ЭМГ) пациента, регистрируемой в различных группах мышц тазового дна, </w:t>
            </w:r>
            <w:proofErr w:type="gramStart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предназначенный  для</w:t>
            </w:r>
            <w:proofErr w:type="gramEnd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диагностики  урологических, </w:t>
            </w: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гинекологических и проктологических патологических состояний по параметрам ЭМГ.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 xml:space="preserve">Блок минимизации помех внешних электронных устройств, и не связанных напрямую с </w:t>
            </w:r>
            <w:proofErr w:type="gramStart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сигналом  ЭМГ</w:t>
            </w:r>
            <w:proofErr w:type="gramEnd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 xml:space="preserve">, включая систему специализированных  фильтров </w:t>
            </w: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;</w:t>
            </w: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4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pacing w:val="-4"/>
                <w:sz w:val="20"/>
                <w:szCs w:val="20"/>
                <w:lang w:eastAsia="ru-RU"/>
              </w:rPr>
              <w:t xml:space="preserve">Блок комплексного подавления артефактов, связанных с </w:t>
            </w:r>
            <w:proofErr w:type="gramStart"/>
            <w:r w:rsidRPr="00013790">
              <w:rPr>
                <w:rFonts w:ascii="Arial Narrow" w:eastAsia="Times New Roman" w:hAnsi="Arial Narrow" w:cs="Times New Roman"/>
                <w:spacing w:val="-4"/>
                <w:sz w:val="20"/>
                <w:szCs w:val="20"/>
                <w:lang w:eastAsia="ru-RU"/>
              </w:rPr>
              <w:t>работой  мышц</w:t>
            </w:r>
            <w:proofErr w:type="gramEnd"/>
            <w:r w:rsidRPr="00013790">
              <w:rPr>
                <w:rFonts w:ascii="Arial Narrow" w:eastAsia="Times New Roman" w:hAnsi="Arial Narrow" w:cs="Times New Roman"/>
                <w:spacing w:val="-4"/>
                <w:sz w:val="20"/>
                <w:szCs w:val="20"/>
                <w:lang w:eastAsia="ru-RU"/>
              </w:rPr>
              <w:t xml:space="preserve"> тазового дна и живота,  кожно-гальванических и сосудистых систем,  включающий в себя: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b/>
                <w:spacing w:val="-4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● Автоматизированную систему контроля биологических сигналов, обеспечивающих минимизацию количества ложных срабатываний за счёт комплекса специальных алгоритмов программного выделения и удаления артефактов, связанных с работой мышц живота, тазового дна, кожно-гальванических и сосудистых систем.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Arial Narrow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Блок  формирования</w:t>
            </w:r>
            <w:proofErr w:type="gramEnd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 xml:space="preserve"> (БФ) сигналов биологической  обратной связи (БОС), предназначенный для </w:t>
            </w:r>
            <w:r w:rsidRPr="00013790">
              <w:rPr>
                <w:rFonts w:ascii="Arial Narrow" w:eastAsia="Times New Roman" w:hAnsi="Arial Narrow" w:cs="Arial Narrow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лечения  урологических</w:t>
            </w:r>
            <w:proofErr w:type="gramEnd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 xml:space="preserve">, проктологических и гинекологических заболеваний </w:t>
            </w:r>
            <w:r w:rsidRPr="00013790">
              <w:rPr>
                <w:rFonts w:ascii="Arial Narrow" w:eastAsia="Times New Roman" w:hAnsi="Arial Narrow" w:cs="Arial Narrow"/>
                <w:spacing w:val="-2"/>
                <w:sz w:val="20"/>
                <w:szCs w:val="20"/>
                <w:lang w:eastAsia="ru-RU"/>
              </w:rPr>
              <w:t>на основе восстановления функций  различных групп мышц тазового дна,</w:t>
            </w: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 xml:space="preserve">  и включающий в себя: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● Тестирование сократительной способности мышц;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● Анализ ЭМГ и управления мотивационными стимулами;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● Коррекцию работы мышц тазового дна по параметрам (</w:t>
            </w:r>
            <w:proofErr w:type="gramStart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ЭМГ)  при</w:t>
            </w:r>
            <w:proofErr w:type="gramEnd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 xml:space="preserve"> выполнении пациентом 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    определённых заданных усилий;  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● Усиление кровообращения в области малого таза;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>●  Адаптивную</w:t>
            </w:r>
            <w:proofErr w:type="gramEnd"/>
            <w:r w:rsidRPr="00013790">
              <w:rPr>
                <w:rFonts w:ascii="Arial Narrow" w:eastAsia="Times New Roman" w:hAnsi="Arial Narrow" w:cs="Times New Roman"/>
                <w:spacing w:val="-2"/>
                <w:sz w:val="20"/>
                <w:szCs w:val="20"/>
                <w:lang w:eastAsia="ru-RU"/>
              </w:rPr>
              <w:t xml:space="preserve"> настройку параметров работы  комплекса, индивидуальную для каждого 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пациента;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● Управление мотивационными зрительными стимулами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● Возможность изменения настроек параметров или условий работы пациента, не прерывая 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тренировки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● </w:t>
            </w:r>
            <w:proofErr w:type="gramStart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Аккумулирование  статистической</w:t>
            </w:r>
            <w:proofErr w:type="gramEnd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информации о динамике процесса  реабилитации,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   создание базы данных с анализом результатов диагностики и </w:t>
            </w:r>
            <w:proofErr w:type="gramStart"/>
            <w:r w:rsidRPr="0001379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лечения  пациентов</w:t>
            </w:r>
            <w:proofErr w:type="gramEnd"/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Интерфейсный блок (в составе БФ), обеспечивающий восстановление функций анального сфинктера </w:t>
            </w:r>
            <w:proofErr w:type="gramStart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  включающий</w:t>
            </w:r>
            <w:proofErr w:type="gramEnd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комплект программного обеспечения  для послеоперационной реабилитации, лечения геморроя и простатита;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Интерфейсный блок (в составе БФ), обеспечивающий восстановление функций вагинальной группы мышц, лечение недержания мочи у женщин, нейрогенных расстройства </w:t>
            </w:r>
            <w:proofErr w:type="gramStart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мочеиспускания,  а</w:t>
            </w:r>
            <w:proofErr w:type="gramEnd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также лечения </w:t>
            </w:r>
            <w:proofErr w:type="spellStart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аноргазмии</w:t>
            </w:r>
            <w:proofErr w:type="spellEnd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вагинизма и сексуальной реабилитации;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Интерфейсный блок (в составе БФ), обеспечивающий </w:t>
            </w:r>
            <w:proofErr w:type="gramStart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восстановление </w:t>
            </w:r>
            <w:r w:rsidRPr="00013790"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3790"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>эректильной</w:t>
            </w:r>
            <w:proofErr w:type="spellEnd"/>
            <w:proofErr w:type="gramEnd"/>
            <w:r w:rsidRPr="00013790">
              <w:rPr>
                <w:rFonts w:ascii="Arial Narrow" w:eastAsia="Times New Roman" w:hAnsi="Arial Narrow" w:cs="Arial Narrow"/>
                <w:sz w:val="20"/>
                <w:szCs w:val="20"/>
                <w:lang w:eastAsia="ru-RU"/>
              </w:rPr>
              <w:t xml:space="preserve"> функции</w:t>
            </w: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у мужчин,  обеспечивающий   усиление кровообращения в области малого таза и способствующий  длительному удержанию эрекции.  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Дисплей пациента (19 дюймов)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Дисплей оператора (19 дюймов)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Усилитель биопотенциалов (ЭМГ) двухканальный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Комплект  ЭМГ</w:t>
            </w:r>
            <w:proofErr w:type="gramEnd"/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- электродов многоразовых, с фиксаторами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Комплект кабелей с маркировкой для соединения частей комплекса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Комплект расходных материалов</w:t>
            </w: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Гарнитура специализированная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Сетевой фильтр</w:t>
            </w: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Источник бесперебойного питания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Паспорт с техническим описанием и инструкцией по эксплуатации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013790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1</w:t>
            </w:r>
          </w:p>
          <w:p w:rsidR="00013790" w:rsidRPr="00013790" w:rsidRDefault="00013790" w:rsidP="0001379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13790" w:rsidRPr="00013790" w:rsidRDefault="00013790" w:rsidP="00013790">
      <w:pPr>
        <w:autoSpaceDE w:val="0"/>
        <w:autoSpaceDN w:val="0"/>
        <w:ind w:left="720" w:firstLine="720"/>
        <w:jc w:val="both"/>
        <w:rPr>
          <w:rFonts w:ascii="Arial Narrow" w:eastAsia="Times New Roman" w:hAnsi="Arial Narrow" w:cs="Arial Narrow"/>
          <w:sz w:val="22"/>
        </w:rPr>
      </w:pPr>
    </w:p>
    <w:p w:rsidR="00013790" w:rsidRPr="00213DAC" w:rsidRDefault="00013790" w:rsidP="00213DAC">
      <w:pPr>
        <w:keepNext/>
        <w:autoSpaceDE w:val="0"/>
        <w:autoSpaceDN w:val="0"/>
        <w:spacing w:line="276" w:lineRule="auto"/>
        <w:jc w:val="both"/>
        <w:outlineLvl w:val="2"/>
        <w:rPr>
          <w:rFonts w:eastAsia="Times New Roman" w:cs="Times New Roman"/>
          <w:bCs/>
          <w:szCs w:val="28"/>
          <w:lang w:val="uk-UA"/>
        </w:rPr>
      </w:pPr>
    </w:p>
    <w:p w:rsidR="00013790" w:rsidRPr="00013790" w:rsidRDefault="00AF7E84" w:rsidP="00013790">
      <w:pPr>
        <w:jc w:val="center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u w:val="single"/>
          <w:lang w:val="en-US"/>
        </w:rPr>
      </w:pPr>
      <w:r w:rsidRPr="00213DAC">
        <w:rPr>
          <w:rFonts w:eastAsia="Times New Roman" w:cs="Times New Roman"/>
          <w:bCs/>
          <w:szCs w:val="28"/>
          <w:lang w:val="uk-UA"/>
        </w:rPr>
        <w:t xml:space="preserve"> </w:t>
      </w:r>
      <w:r w:rsidR="00213DAC">
        <w:rPr>
          <w:rFonts w:eastAsia="Times New Roman" w:cs="Times New Roman"/>
          <w:bCs/>
          <w:szCs w:val="28"/>
          <w:lang w:val="uk-UA"/>
        </w:rPr>
        <w:tab/>
      </w:r>
      <w:r w:rsidR="00013790" w:rsidRPr="00013790"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u w:val="single"/>
        </w:rPr>
        <w:t>Стоимость прибора</w:t>
      </w:r>
      <w:r w:rsidR="00013790"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u w:val="single"/>
        </w:rPr>
        <w:t xml:space="preserve"> «</w:t>
      </w:r>
      <w:proofErr w:type="spellStart"/>
      <w:r w:rsidR="00013790"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u w:val="single"/>
        </w:rPr>
        <w:t>Уропроктокор</w:t>
      </w:r>
      <w:proofErr w:type="spellEnd"/>
      <w:r w:rsidR="00013790"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u w:val="single"/>
        </w:rPr>
        <w:t>» - 15</w:t>
      </w:r>
      <w:r w:rsidR="00013790" w:rsidRPr="00013790"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u w:val="single"/>
        </w:rPr>
        <w:t xml:space="preserve"> 000 </w:t>
      </w:r>
      <w:proofErr w:type="spellStart"/>
      <w:r w:rsidR="00013790" w:rsidRPr="00013790"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u w:val="single"/>
          <w:lang w:val="en-US"/>
        </w:rPr>
        <w:t>usd</w:t>
      </w:r>
      <w:proofErr w:type="spellEnd"/>
      <w:r w:rsidR="00013790" w:rsidRPr="00013790"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u w:val="single"/>
          <w:lang w:val="en-US"/>
        </w:rPr>
        <w:t>.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sz w:val="22"/>
        </w:rPr>
      </w:pPr>
    </w:p>
    <w:p w:rsidR="00013790" w:rsidRPr="00013790" w:rsidRDefault="00013790" w:rsidP="00013790">
      <w:pPr>
        <w:autoSpaceDE w:val="0"/>
        <w:autoSpaceDN w:val="0"/>
        <w:ind w:firstLine="708"/>
        <w:jc w:val="both"/>
        <w:rPr>
          <w:rFonts w:ascii="Arial Narrow" w:eastAsia="Times New Roman" w:hAnsi="Arial Narrow" w:cs="Arial Narrow"/>
          <w:b/>
          <w:bCs/>
          <w:sz w:val="22"/>
        </w:rPr>
      </w:pPr>
      <w:r w:rsidRPr="00013790">
        <w:rPr>
          <w:rFonts w:ascii="Arial Narrow" w:eastAsia="Times New Roman" w:hAnsi="Arial Narrow" w:cs="Arial Narrow"/>
          <w:b/>
          <w:bCs/>
          <w:sz w:val="22"/>
        </w:rPr>
        <w:t xml:space="preserve">В стоимость прибора входит: 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 xml:space="preserve">- изготовление аппаратуры в </w:t>
      </w:r>
      <w:proofErr w:type="gramStart"/>
      <w:r w:rsidRPr="00013790">
        <w:rPr>
          <w:rFonts w:ascii="Arial Narrow" w:eastAsia="Times New Roman" w:hAnsi="Arial Narrow" w:cs="Arial Narrow"/>
          <w:sz w:val="22"/>
        </w:rPr>
        <w:t>течение  5</w:t>
      </w:r>
      <w:proofErr w:type="gramEnd"/>
      <w:r w:rsidRPr="00013790">
        <w:rPr>
          <w:rFonts w:ascii="Arial Narrow" w:eastAsia="Times New Roman" w:hAnsi="Arial Narrow" w:cs="Arial Narrow"/>
          <w:sz w:val="22"/>
        </w:rPr>
        <w:t xml:space="preserve"> - 6 недель после получения предоплаты;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 xml:space="preserve">-  поставка аппаратуры заказчику; 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>- обучение пользователя методики работы с нашей аппаратурой;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>- годовое гарантийное обслуживание.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sz w:val="22"/>
        </w:rPr>
      </w:pPr>
      <w:r w:rsidRPr="00013790">
        <w:rPr>
          <w:rFonts w:ascii="Arial Narrow" w:eastAsia="Times New Roman" w:hAnsi="Arial Narrow" w:cs="Arial Narrow"/>
          <w:sz w:val="22"/>
        </w:rPr>
        <w:t>- Приезд специалиста и проведение пуско-наладочных работ.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sz w:val="22"/>
        </w:rPr>
      </w:pPr>
    </w:p>
    <w:p w:rsidR="00013790" w:rsidRPr="00013790" w:rsidRDefault="00013790" w:rsidP="00E52CEB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bCs/>
          <w:sz w:val="24"/>
          <w:szCs w:val="24"/>
          <w:lang w:val="en-US"/>
        </w:rPr>
      </w:pPr>
      <w:r w:rsidRPr="00013790">
        <w:rPr>
          <w:rFonts w:ascii="Arial Narrow" w:eastAsia="Times New Roman" w:hAnsi="Arial Narrow" w:cs="Arial Narrow"/>
          <w:bCs/>
          <w:sz w:val="24"/>
          <w:szCs w:val="24"/>
          <w:lang w:val="en-US"/>
        </w:rPr>
        <w:t xml:space="preserve">E-mail: </w:t>
      </w:r>
      <w:r w:rsidR="00E52CEB" w:rsidRPr="00E52CEB">
        <w:rPr>
          <w:rFonts w:ascii="Arial Narrow" w:eastAsia="Times New Roman" w:hAnsi="Arial Narrow" w:cs="Arial Narrow"/>
          <w:bCs/>
          <w:sz w:val="24"/>
          <w:szCs w:val="24"/>
          <w:lang w:val="en-US"/>
        </w:rPr>
        <w:t>ambliokor.kharkiv@ukr.net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  <w:r w:rsidRPr="00013790">
        <w:rPr>
          <w:rFonts w:ascii="Arial Narrow" w:eastAsia="Times New Roman" w:hAnsi="Arial Narrow" w:cs="Arial Narrow"/>
          <w:bCs/>
          <w:sz w:val="24"/>
          <w:szCs w:val="24"/>
        </w:rPr>
        <w:t xml:space="preserve">Сайт: </w:t>
      </w:r>
      <w:hyperlink r:id="rId14" w:history="1">
        <w:r w:rsidRPr="00013790">
          <w:rPr>
            <w:rFonts w:ascii="Arial Narrow" w:eastAsia="Times New Roman" w:hAnsi="Arial Narrow" w:cs="Arial Narrow"/>
            <w:bCs/>
            <w:color w:val="0000FF"/>
            <w:sz w:val="24"/>
            <w:szCs w:val="24"/>
            <w:u w:val="single"/>
          </w:rPr>
          <w:t>http://foresight-agency.com</w:t>
        </w:r>
      </w:hyperlink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  <w:r w:rsidRPr="00013790">
        <w:rPr>
          <w:rFonts w:ascii="Arial Narrow" w:eastAsia="Times New Roman" w:hAnsi="Arial Narrow" w:cs="Arial Narrow"/>
          <w:bCs/>
          <w:sz w:val="24"/>
          <w:szCs w:val="24"/>
        </w:rPr>
        <w:t xml:space="preserve">Сайт: </w:t>
      </w:r>
      <w:hyperlink r:id="rId15" w:history="1">
        <w:r w:rsidR="00E52CEB" w:rsidRPr="00CB0458">
          <w:rPr>
            <w:rStyle w:val="a5"/>
            <w:rFonts w:ascii="Arial Narrow" w:eastAsia="Times New Roman" w:hAnsi="Arial Narrow" w:cs="Arial Narrow"/>
            <w:bCs/>
            <w:sz w:val="24"/>
            <w:szCs w:val="24"/>
          </w:rPr>
          <w:t>http://fm-tech.com.ua</w:t>
        </w:r>
      </w:hyperlink>
      <w:r w:rsidR="00E52CEB">
        <w:rPr>
          <w:rFonts w:ascii="Arial Narrow" w:eastAsia="Times New Roman" w:hAnsi="Arial Narrow" w:cs="Arial Narrow"/>
          <w:bCs/>
          <w:sz w:val="24"/>
          <w:szCs w:val="24"/>
        </w:rPr>
        <w:t xml:space="preserve"> </w:t>
      </w:r>
    </w:p>
    <w:p w:rsidR="00013790" w:rsidRPr="00013790" w:rsidRDefault="00013790" w:rsidP="00013790">
      <w:pPr>
        <w:autoSpaceDE w:val="0"/>
        <w:autoSpaceDN w:val="0"/>
        <w:ind w:firstLine="0"/>
        <w:jc w:val="both"/>
        <w:rPr>
          <w:rFonts w:ascii="Arial Narrow" w:eastAsia="Times New Roman" w:hAnsi="Arial Narrow" w:cs="Arial Narrow"/>
          <w:bCs/>
          <w:sz w:val="24"/>
          <w:szCs w:val="24"/>
        </w:rPr>
      </w:pPr>
      <w:r w:rsidRPr="00013790">
        <w:rPr>
          <w:rFonts w:ascii="Arial Narrow" w:eastAsia="Times New Roman" w:hAnsi="Arial Narrow" w:cs="Arial Narrow"/>
          <w:bCs/>
          <w:sz w:val="24"/>
          <w:szCs w:val="24"/>
        </w:rPr>
        <w:t>Тел. моб.: 099-791-96-42</w:t>
      </w:r>
      <w:bookmarkStart w:id="0" w:name="_GoBack"/>
      <w:bookmarkEnd w:id="0"/>
    </w:p>
    <w:p w:rsidR="00C25008" w:rsidRPr="00213DAC" w:rsidRDefault="00C25008" w:rsidP="000137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rFonts w:eastAsia="Times New Roman" w:cs="Times New Roman"/>
          <w:szCs w:val="28"/>
          <w:lang w:val="uk-UA"/>
        </w:rPr>
      </w:pPr>
    </w:p>
    <w:p w:rsidR="00C25008" w:rsidRPr="00215B0B" w:rsidRDefault="00C25008" w:rsidP="00A06760">
      <w:pPr>
        <w:spacing w:line="360" w:lineRule="auto"/>
        <w:rPr>
          <w:rFonts w:cs="Times New Roman"/>
        </w:rPr>
      </w:pPr>
    </w:p>
    <w:sectPr w:rsidR="00C25008" w:rsidRPr="00215B0B" w:rsidSect="0090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64E37"/>
    <w:multiLevelType w:val="hybridMultilevel"/>
    <w:tmpl w:val="BCC217A2"/>
    <w:lvl w:ilvl="0" w:tplc="7D5E19CE">
      <w:start w:val="1"/>
      <w:numFmt w:val="decimal"/>
      <w:lvlText w:val="%1"/>
      <w:lvlJc w:val="center"/>
      <w:pPr>
        <w:tabs>
          <w:tab w:val="num" w:pos="0"/>
        </w:tabs>
        <w:ind w:left="397" w:hanging="227"/>
      </w:pPr>
      <w:rPr>
        <w:rFonts w:hint="default"/>
      </w:rPr>
    </w:lvl>
    <w:lvl w:ilvl="1" w:tplc="ED58F0A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E6DD4"/>
    <w:multiLevelType w:val="hybridMultilevel"/>
    <w:tmpl w:val="6B5E51BC"/>
    <w:lvl w:ilvl="0" w:tplc="7D5E19CE">
      <w:start w:val="1"/>
      <w:numFmt w:val="decimal"/>
      <w:lvlText w:val="%1"/>
      <w:lvlJc w:val="center"/>
      <w:pPr>
        <w:tabs>
          <w:tab w:val="num" w:pos="0"/>
        </w:tabs>
        <w:ind w:left="397" w:hanging="227"/>
      </w:pPr>
      <w:rPr>
        <w:rFonts w:hint="default"/>
      </w:rPr>
    </w:lvl>
    <w:lvl w:ilvl="1" w:tplc="63F2C6C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89"/>
    <w:rsid w:val="00013790"/>
    <w:rsid w:val="001527DB"/>
    <w:rsid w:val="00213DAC"/>
    <w:rsid w:val="00215B0B"/>
    <w:rsid w:val="00250D89"/>
    <w:rsid w:val="00255483"/>
    <w:rsid w:val="002C3E2C"/>
    <w:rsid w:val="00513046"/>
    <w:rsid w:val="00650241"/>
    <w:rsid w:val="006B76B2"/>
    <w:rsid w:val="007C0E2A"/>
    <w:rsid w:val="008B20B4"/>
    <w:rsid w:val="009012CC"/>
    <w:rsid w:val="00A06760"/>
    <w:rsid w:val="00A159D2"/>
    <w:rsid w:val="00AB218F"/>
    <w:rsid w:val="00AF7E84"/>
    <w:rsid w:val="00C25008"/>
    <w:rsid w:val="00C65811"/>
    <w:rsid w:val="00D94773"/>
    <w:rsid w:val="00E52CEB"/>
    <w:rsid w:val="00EF272A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1465"/>
  <w15:docId w15:val="{38FFE93D-17D9-4D3D-A3A5-D6CBF9C2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73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3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0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7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25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sight-agency.com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oresight-agency.com/" TargetMode="External"/><Relationship Id="rId12" Type="http://schemas.openxmlformats.org/officeDocument/2006/relationships/hyperlink" Target="http://foresight-agency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oresight-agency.com/" TargetMode="External"/><Relationship Id="rId11" Type="http://schemas.openxmlformats.org/officeDocument/2006/relationships/hyperlink" Target="http://foresight-agency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m-tech.com.ua" TargetMode="External"/><Relationship Id="rId10" Type="http://schemas.openxmlformats.org/officeDocument/2006/relationships/hyperlink" Target="http://foresight-agenc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esight-agency.com/" TargetMode="External"/><Relationship Id="rId14" Type="http://schemas.openxmlformats.org/officeDocument/2006/relationships/hyperlink" Target="http://foresight-agenc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3</cp:revision>
  <dcterms:created xsi:type="dcterms:W3CDTF">2018-09-30T17:28:00Z</dcterms:created>
  <dcterms:modified xsi:type="dcterms:W3CDTF">2018-09-30T17:30:00Z</dcterms:modified>
</cp:coreProperties>
</file>